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20" w:lineRule="atLeast"/>
        <w:jc w:val="center"/>
        <w:rPr>
          <w:rFonts w:ascii="黑体" w:hAnsi="黑体" w:eastAsia="黑体"/>
          <w:b/>
          <w:sz w:val="36"/>
          <w:szCs w:val="36"/>
        </w:rPr>
      </w:pPr>
      <w:r>
        <w:rPr>
          <w:rFonts w:hint="eastAsia" w:ascii="黑体" w:hAnsi="黑体" w:eastAsia="黑体"/>
          <w:b/>
          <w:sz w:val="36"/>
          <w:szCs w:val="36"/>
        </w:rPr>
        <w:t>胸痛救治单元现场验收评分</w:t>
      </w:r>
      <w:r>
        <w:rPr>
          <w:rFonts w:ascii="黑体" w:hAnsi="黑体" w:eastAsia="黑体"/>
          <w:b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8731250</wp:posOffset>
                </wp:positionH>
                <wp:positionV relativeFrom="paragraph">
                  <wp:posOffset>-692150</wp:posOffset>
                </wp:positionV>
                <wp:extent cx="622300" cy="374650"/>
                <wp:effectExtent l="5080" t="4445" r="7620" b="14605"/>
                <wp:wrapNone/>
                <wp:docPr id="1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22300" cy="374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ascii="黑体" w:hAnsi="黑体" w:eastAsia="黑体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hint="eastAsia" w:ascii="黑体" w:hAnsi="黑体" w:eastAsia="黑体"/>
                                <w:sz w:val="28"/>
                                <w:szCs w:val="28"/>
                              </w:rPr>
                              <w:t>保密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687.5pt;margin-top:-54.5pt;height:29.5pt;width:49pt;z-index:251659264;mso-width-relative:page;mso-height-relative:page;" fillcolor="#FFFFFF" filled="t" stroked="t" coordsize="21600,21600" o:gfxdata="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BYAAABkcnMvUEsBAhQAFAAAAAgAh07iQJOE&#10;U0faAAAADgEAAA8AAAAAAAAAAQAgAAAAOAAAAGRycy9kb3ducmV2LnhtbFBLAQIUABQAAAAIAIdO&#10;4kAz/6V2CwIAADUEAAAOAAAAAAAAAAEAIAAAAD8BAABkcnMvZTJvRG9jLnhtbFBLBQYAAAAABgAG&#10;AFkBAAC8BQAAAAA=&#10;">
                <v:fill on="t" focussize="0,0"/>
                <v:stroke color="#000000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ascii="黑体" w:hAnsi="黑体" w:eastAsia="黑体"/>
                          <w:sz w:val="28"/>
                          <w:szCs w:val="28"/>
                        </w:rPr>
                      </w:pPr>
                      <w:r>
                        <w:rPr>
                          <w:rFonts w:hint="eastAsia" w:ascii="黑体" w:hAnsi="黑体" w:eastAsia="黑体"/>
                          <w:sz w:val="28"/>
                          <w:szCs w:val="28"/>
                        </w:rPr>
                        <w:t>保密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 w:ascii="黑体" w:hAnsi="黑体" w:eastAsia="黑体"/>
          <w:b/>
          <w:sz w:val="36"/>
          <w:szCs w:val="36"/>
        </w:rPr>
        <w:t>详表</w:t>
      </w:r>
    </w:p>
    <w:p>
      <w:pPr>
        <w:spacing w:line="220" w:lineRule="atLeast"/>
        <w:rPr>
          <w:rFonts w:asciiTheme="minorEastAsia" w:hAnsiTheme="minorEastAsia" w:eastAsiaTheme="minorEastAsia"/>
          <w:sz w:val="21"/>
          <w:szCs w:val="21"/>
        </w:rPr>
      </w:pPr>
      <w:r>
        <w:rPr>
          <w:rFonts w:hint="eastAsia" w:ascii="黑体" w:hAnsi="黑体" w:eastAsia="黑体"/>
          <w:b/>
          <w:sz w:val="21"/>
          <w:szCs w:val="21"/>
        </w:rPr>
        <w:t xml:space="preserve">医院名称：                                      现场验收时间：                                          评审人签名： </w:t>
      </w:r>
    </w:p>
    <w:tbl>
      <w:tblPr>
        <w:tblStyle w:val="6"/>
        <w:tblW w:w="15099" w:type="dxa"/>
        <w:jc w:val="center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54"/>
        <w:gridCol w:w="11096"/>
        <w:gridCol w:w="1188"/>
        <w:gridCol w:w="1061"/>
      </w:tblGrid>
      <w:tr>
        <w:trPr>
          <w:trHeight w:val="90" w:hRule="atLeast"/>
          <w:jc w:val="center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ind w:firstLine="631" w:firstLineChars="300"/>
              <w:jc w:val="both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模块</w:t>
            </w: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考察内容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分值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  <w:lang w:val="en-US" w:eastAsia="zh-CN"/>
              </w:rPr>
              <w:t>得分</w:t>
            </w:r>
          </w:p>
        </w:tc>
      </w:tr>
      <w:tr>
        <w:trPr>
          <w:trHeight w:val="23" w:hRule="atLeast"/>
          <w:jc w:val="center"/>
        </w:trPr>
        <w:tc>
          <w:tcPr>
            <w:tcW w:w="175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汇报</w:t>
            </w: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left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胸痛救治单元建设现状及接诊例数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现场提问</w:t>
            </w: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救治单元主要负责医师是否熟悉胸痛协同救治体系的概念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救治单元主要负责医师是否熟悉与上级单位的联络机制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救治单元主要负责医师是否熟悉以胸痛症状识别、急性胸痛相关疾病的早期临床 诊断、常规心电图知识、基本急救技能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制度文件</w:t>
            </w: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医院发布正式成立胸痛救治单元的红头文件（原件）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根据就近原则及本机构实际情况，与具有急诊PCI能力或者溶栓治疗能力的胸痛中心签署联合救治协议（原件）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现场及救治条件</w:t>
            </w: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设置胸痛救治单元的指引及胸痛优先标识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建立针对急性胸痛患者的心电图、双联抗血小板、抗凝、溶栓及肌钙蛋白（如果开展）等项目的先救治后收费机制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制订适合本机构条件的急性胸痛诊疗流程图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所有负责急性胸痛患者接诊的急诊医师熟悉上述诊疗流程图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配备床旁心电图机设备，双联抗血小板常备药品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已制订了时钟统一管理制度，确保关键时间节点记录时间的高度统一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422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有收容或者留观能力或距离上级医院转运距离大于60分钟的胸痛救治单元应配备肌钙蛋白床旁快速检测设备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  <w:lang w:val="en-US" w:eastAsia="zh-CN"/>
              </w:rPr>
              <w:t>慢病管理</w:t>
            </w: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需有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随访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患者登记表，并有各个病人的去向及随访记录登记(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如由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签约医生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随访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应有签约医生随访记录表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)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40" w:lineRule="auto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90" w:hRule="atLeast"/>
          <w:jc w:val="center"/>
        </w:trPr>
        <w:tc>
          <w:tcPr>
            <w:tcW w:w="17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制定慢病筛查登记表，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结合公共卫生工作进行辖区内高血压、高血脂、糖尿病等心血管相关慢病筛查与管理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eastAsia="zh-CN"/>
              </w:rPr>
              <w:t>，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明确筛查频次和内容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1282" w:hRule="atLeast"/>
          <w:jc w:val="center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再灌注策略选择</w:t>
            </w: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若首选溶栓治疗</w:t>
            </w:r>
          </w:p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在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上级医院指导下制订溶栓筛查表、溶栓标准操作流程、溶栓结果判断标准、溶栓药物（建议使用第二、三代溶栓药物）、溶栓后转运流程</w:t>
            </w:r>
          </w:p>
        </w:tc>
        <w:tc>
          <w:tcPr>
            <w:tcW w:w="1188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6</w:t>
            </w:r>
          </w:p>
        </w:tc>
        <w:tc>
          <w:tcPr>
            <w:tcW w:w="1061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若首选转运PCI或转运至上级医院溶栓（转运溶栓）</w:t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br w:type="textWrapping"/>
            </w: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应建立与上级医院常态化的联络、转运及联合救治机制</w:t>
            </w:r>
          </w:p>
        </w:tc>
        <w:tc>
          <w:tcPr>
            <w:tcW w:w="1188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  <w:tc>
          <w:tcPr>
            <w:tcW w:w="1061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rPr>
          <w:trHeight w:val="497" w:hRule="atLeast"/>
          <w:jc w:val="center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ind w:firstLine="420" w:firstLineChars="200"/>
              <w:jc w:val="both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  <w:lang w:val="en-US" w:eastAsia="zh-CN"/>
              </w:rPr>
              <w:t>救治点建设</w:t>
            </w: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是否启动胸痛救治点建设工作（胸痛中心网站注册）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配备心电图机，能够完成心电图检查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定期参加上级医院组织的培训会议，掌握心肺复苏技能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培训与教育</w:t>
            </w: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hint="eastAsia"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在上级医院的指导下开展以胸痛症状识别、急性胸痛相关疾病的早期临床诊断、常规心电图知识、基本急救技能为主的全员培训与考核，每年不少于一轮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highlight w:val="yellow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定期对辖区内各站点医务人员或家庭医生进行培训，原则上每年不少于一轮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highlight w:val="yellow"/>
                <w:lang w:val="en-US" w:eastAsia="zh-CN"/>
              </w:rPr>
            </w:pPr>
          </w:p>
        </w:tc>
      </w:tr>
      <w:tr>
        <w:trPr>
          <w:trHeight w:val="593" w:hRule="atLeast"/>
          <w:jc w:val="center"/>
        </w:trPr>
        <w:tc>
          <w:tcPr>
            <w:tcW w:w="1754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widowControl/>
              <w:spacing w:before="156" w:beforeLines="50" w:line="276" w:lineRule="auto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联合胸痛救治点开展辖区内大众健康培训（培训现场照片及覆盖人群说明）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highlight w:val="yellow"/>
                <w:lang w:val="en-US" w:eastAsia="zh-CN"/>
              </w:rPr>
            </w:pPr>
          </w:p>
        </w:tc>
      </w:tr>
      <w:tr>
        <w:trPr>
          <w:trHeight w:val="724" w:hRule="atLeast"/>
          <w:jc w:val="center"/>
        </w:trPr>
        <w:tc>
          <w:tcPr>
            <w:tcW w:w="1754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hint="eastAsia" w:eastAsia="宋体" w:asciiTheme="minorEastAsia" w:hAnsiTheme="minorEastAsia"/>
                <w:sz w:val="21"/>
                <w:szCs w:val="21"/>
                <w:highlight w:val="yellow"/>
                <w:lang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建立涵盖辖区内全部救治点的沟通群，（微信群沟通记录截图）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highlight w:val="yellow"/>
                <w:lang w:val="en-US" w:eastAsia="zh-CN"/>
              </w:rPr>
            </w:pPr>
          </w:p>
        </w:tc>
      </w:tr>
      <w:tr>
        <w:trPr>
          <w:trHeight w:val="407" w:hRule="atLeast"/>
          <w:jc w:val="center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b/>
                <w:bCs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抽取近半年高危患者病例</w:t>
            </w: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制定规范的胸痛患者时间节点管理表，能及时填写所有接诊胸痛患者关键时间节点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427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1.首次医疗接触时间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2.首份心电图完 成时间、传输时间、确诊时间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407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3.患者转出时间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407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4.溶栓（若开展）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default" w:asciiTheme="minorEastAsia" w:hAnsiTheme="minorEastAsia" w:eastAsiaTheme="minorEastAsia"/>
                <w:sz w:val="21"/>
                <w:szCs w:val="21"/>
                <w:highlight w:val="yellow"/>
                <w:lang w:val="en-US" w:eastAsia="zh-CN"/>
              </w:rPr>
            </w:pPr>
          </w:p>
        </w:tc>
      </w:tr>
      <w:tr>
        <w:trPr>
          <w:trHeight w:val="427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5.双联抗心血小板药物使用时间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持续改进</w:t>
            </w: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所有高危胸痛（急性冠脉综合征、主动脉夹层、肺动脉栓塞）病例的原始资料保留存档，且时间节点可溯源。向上级医院转诊的高危急性胸痛患者，应共享时间节点管理表,并留存原始资料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所有急性胸痛患者在首次医疗接触后能在10分钟内完成12/18导联心电图检查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若开展了床旁肌钙蛋白检测，能够在抽血后20分钟内获取检测结果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982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对于明确诊断为STEMI的患者，若实施溶栓治疗，则应在患者到达后30分钟内开始溶栓。且至少75%的病例能达到此标准；如果目前无法达到上述要求，至少近6个月已经呈现出明显的缩短趋势且至少50% 的病例达30分钟以内，且已制定合理计划以确保在通过验收后的第1年内达到平均30分钟以内且 75% 的合格率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754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</w:p>
        </w:tc>
        <w:tc>
          <w:tcPr>
            <w:tcW w:w="110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both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</w:rPr>
              <w:t>对于明确诊断为STEMI的患者，若在本机构实施转运PCI/转运溶栓，则应在患者到达后30分钟内转出，如果目前达不到，应显示明显的缩短趋势，并且需要针对当前存在的主要问题制订改进措施，确保在通过验收后1年内逐步达到</w:t>
            </w:r>
          </w:p>
        </w:tc>
        <w:tc>
          <w:tcPr>
            <w:tcW w:w="11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06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hint="eastAsia" w:asciiTheme="minorEastAsia" w:hAnsiTheme="minorEastAsia" w:eastAsiaTheme="minorEastAsia"/>
                <w:sz w:val="21"/>
                <w:szCs w:val="21"/>
                <w:lang w:val="en-US" w:eastAsia="zh-CN"/>
              </w:rPr>
            </w:pPr>
          </w:p>
        </w:tc>
      </w:tr>
      <w:tr>
        <w:trPr>
          <w:trHeight w:val="23" w:hRule="atLeast"/>
          <w:jc w:val="center"/>
        </w:trPr>
        <w:tc>
          <w:tcPr>
            <w:tcW w:w="1509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0" w:type="dxa"/>
              <w:left w:w="10" w:type="dxa"/>
              <w:right w:w="10" w:type="dxa"/>
            </w:tcMar>
            <w:vAlign w:val="center"/>
          </w:tcPr>
          <w:p>
            <w:pPr>
              <w:spacing w:line="288" w:lineRule="auto"/>
              <w:jc w:val="center"/>
              <w:rPr>
                <w:rFonts w:asciiTheme="minorEastAsia" w:hAnsiTheme="minorEastAsia" w:eastAsiaTheme="minorEastAsia"/>
                <w:sz w:val="21"/>
                <w:szCs w:val="21"/>
              </w:rPr>
            </w:pPr>
            <w:r>
              <w:rPr>
                <w:rFonts w:hint="eastAsia" w:asciiTheme="minorEastAsia" w:hAnsiTheme="minorEastAsia" w:eastAsiaTheme="minorEastAsia"/>
                <w:b/>
                <w:bCs/>
                <w:sz w:val="21"/>
                <w:szCs w:val="21"/>
              </w:rPr>
              <w:t>总分</w:t>
            </w:r>
          </w:p>
        </w:tc>
      </w:tr>
    </w:tbl>
    <w:p>
      <w:pPr>
        <w:spacing w:line="220" w:lineRule="atLeast"/>
        <w:rPr>
          <w:rFonts w:ascii="黑体" w:hAnsi="黑体" w:eastAsia="黑体"/>
          <w:sz w:val="44"/>
          <w:szCs w:val="44"/>
        </w:rPr>
      </w:pPr>
      <w:bookmarkStart w:id="0" w:name="_GoBack"/>
      <w:bookmarkEnd w:id="0"/>
    </w:p>
    <w:sectPr>
      <w:footerReference r:id="rId4" w:type="default"/>
      <w:pgSz w:w="16838" w:h="11906" w:orient="landscape"/>
      <w:pgMar w:top="1800" w:right="1440" w:bottom="1800" w:left="1440" w:header="708" w:footer="708" w:gutter="0"/>
      <w:pgNumType w:fmt="numberInDash"/>
      <w:cols w:space="708" w:num="1"/>
      <w:docGrid w:type="lines"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微软雅黑">
    <w:altName w:val="汉仪旗黑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E1002AFF" w:usb1="C000605B" w:usb2="00000029" w:usb3="00000000" w:csb0="200101FF" w:csb1="20280000"/>
  </w:font>
  <w:font w:name="汉仪旗黑">
    <w:panose1 w:val="00020600040101010101"/>
    <w:charset w:val="86"/>
    <w:family w:val="auto"/>
    <w:pitch w:val="default"/>
    <w:sig w:usb0="A00002BF" w:usb1="1ACF7CFA" w:usb2="00000016" w:usb3="00000000" w:csb0="0004009F" w:csb1="DFD7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冬青黑体简体中文">
    <w:panose1 w:val="020B0300000000000000"/>
    <w:charset w:val="86"/>
    <w:family w:val="auto"/>
    <w:pitch w:val="default"/>
    <w:sig w:usb0="A00002BF" w:usb1="1ACF7CFA" w:usb2="00000016" w:usb3="00000000" w:csb0="00060007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7685595"/>
    </w:sdtPr>
    <w:sdtContent>
      <w:p>
        <w:pPr>
          <w:pStyle w:val="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-</w:t>
        </w:r>
        <w:r>
          <w:t xml:space="preserve"> 12 -</w:t>
        </w:r>
        <w:r>
          <w:fldChar w:fldCharType="end"/>
        </w:r>
      </w:p>
    </w:sdtContent>
  </w:sdt>
  <w:p>
    <w:pPr>
      <w:pStyle w:val="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/>
      </w:pPr>
      <w:r>
        <w:separator/>
      </w:r>
    </w:p>
  </w:footnote>
  <w:footnote w:type="continuationSeparator" w:id="1">
    <w:p>
      <w:pPr>
        <w:spacing w:before="0"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720"/>
  <w:drawingGridHorizontalSpacing w:val="110"/>
  <w:noPunctuationKerning w:val="1"/>
  <w:characterSpacingControl w:val="doNotCompress"/>
  <w:footnotePr>
    <w:footnote w:id="0"/>
    <w:footnote w:id="1"/>
  </w:foot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D50"/>
    <w:rsid w:val="00001528"/>
    <w:rsid w:val="00056010"/>
    <w:rsid w:val="000A0923"/>
    <w:rsid w:val="000B349D"/>
    <w:rsid w:val="001532DB"/>
    <w:rsid w:val="001875FE"/>
    <w:rsid w:val="001C1342"/>
    <w:rsid w:val="001D0AB1"/>
    <w:rsid w:val="001E1348"/>
    <w:rsid w:val="002240A2"/>
    <w:rsid w:val="0022709C"/>
    <w:rsid w:val="00237B5B"/>
    <w:rsid w:val="00257AA0"/>
    <w:rsid w:val="002B79FE"/>
    <w:rsid w:val="002F014F"/>
    <w:rsid w:val="00323B43"/>
    <w:rsid w:val="00367D3A"/>
    <w:rsid w:val="00374E3A"/>
    <w:rsid w:val="003843DC"/>
    <w:rsid w:val="003950E1"/>
    <w:rsid w:val="003A395E"/>
    <w:rsid w:val="003D37D8"/>
    <w:rsid w:val="003D64A2"/>
    <w:rsid w:val="00405883"/>
    <w:rsid w:val="00405EE3"/>
    <w:rsid w:val="00426133"/>
    <w:rsid w:val="00434CC3"/>
    <w:rsid w:val="00435584"/>
    <w:rsid w:val="004358AB"/>
    <w:rsid w:val="0045448D"/>
    <w:rsid w:val="00460176"/>
    <w:rsid w:val="00482727"/>
    <w:rsid w:val="00495B5E"/>
    <w:rsid w:val="004A3B5F"/>
    <w:rsid w:val="004B6484"/>
    <w:rsid w:val="004D6B5F"/>
    <w:rsid w:val="005224A7"/>
    <w:rsid w:val="00552E94"/>
    <w:rsid w:val="00556327"/>
    <w:rsid w:val="0056696F"/>
    <w:rsid w:val="00573531"/>
    <w:rsid w:val="005A723A"/>
    <w:rsid w:val="005C1597"/>
    <w:rsid w:val="005D5D1F"/>
    <w:rsid w:val="005E27B0"/>
    <w:rsid w:val="00625AC8"/>
    <w:rsid w:val="00640AEB"/>
    <w:rsid w:val="00650E4B"/>
    <w:rsid w:val="00660376"/>
    <w:rsid w:val="00662A05"/>
    <w:rsid w:val="00681258"/>
    <w:rsid w:val="00690929"/>
    <w:rsid w:val="006B15DE"/>
    <w:rsid w:val="006D6474"/>
    <w:rsid w:val="007421BD"/>
    <w:rsid w:val="007532F5"/>
    <w:rsid w:val="0078310F"/>
    <w:rsid w:val="00797ABC"/>
    <w:rsid w:val="007B67D6"/>
    <w:rsid w:val="00846031"/>
    <w:rsid w:val="00851425"/>
    <w:rsid w:val="0086763C"/>
    <w:rsid w:val="008703B4"/>
    <w:rsid w:val="00875636"/>
    <w:rsid w:val="008A071A"/>
    <w:rsid w:val="008B71B9"/>
    <w:rsid w:val="008B7726"/>
    <w:rsid w:val="008C6C48"/>
    <w:rsid w:val="008E30B2"/>
    <w:rsid w:val="00917DB3"/>
    <w:rsid w:val="00991730"/>
    <w:rsid w:val="009932C0"/>
    <w:rsid w:val="009E0662"/>
    <w:rsid w:val="00A21B6B"/>
    <w:rsid w:val="00A369EE"/>
    <w:rsid w:val="00A7319E"/>
    <w:rsid w:val="00A92683"/>
    <w:rsid w:val="00A941D2"/>
    <w:rsid w:val="00AC4FFB"/>
    <w:rsid w:val="00AF4BB4"/>
    <w:rsid w:val="00B075D7"/>
    <w:rsid w:val="00B10FE5"/>
    <w:rsid w:val="00B55E04"/>
    <w:rsid w:val="00BA73D7"/>
    <w:rsid w:val="00BD2005"/>
    <w:rsid w:val="00C00E6F"/>
    <w:rsid w:val="00C12B21"/>
    <w:rsid w:val="00C25351"/>
    <w:rsid w:val="00C84501"/>
    <w:rsid w:val="00C92A28"/>
    <w:rsid w:val="00CD630D"/>
    <w:rsid w:val="00CE235D"/>
    <w:rsid w:val="00D0279A"/>
    <w:rsid w:val="00D10186"/>
    <w:rsid w:val="00D15BBC"/>
    <w:rsid w:val="00D1650D"/>
    <w:rsid w:val="00D27312"/>
    <w:rsid w:val="00D31D50"/>
    <w:rsid w:val="00D368D8"/>
    <w:rsid w:val="00D376F9"/>
    <w:rsid w:val="00D44C9F"/>
    <w:rsid w:val="00D64A77"/>
    <w:rsid w:val="00D85F86"/>
    <w:rsid w:val="00DA318E"/>
    <w:rsid w:val="00DF51AD"/>
    <w:rsid w:val="00E01C50"/>
    <w:rsid w:val="00E03E9E"/>
    <w:rsid w:val="00E42631"/>
    <w:rsid w:val="00E53A8E"/>
    <w:rsid w:val="00E67112"/>
    <w:rsid w:val="00E848EC"/>
    <w:rsid w:val="00EC0F70"/>
    <w:rsid w:val="00EC700A"/>
    <w:rsid w:val="00F36164"/>
    <w:rsid w:val="00F62FC1"/>
    <w:rsid w:val="00F830F7"/>
    <w:rsid w:val="00F927B7"/>
    <w:rsid w:val="00FA4F32"/>
    <w:rsid w:val="00FB15BA"/>
    <w:rsid w:val="00FB32AC"/>
    <w:rsid w:val="1B9D8576"/>
    <w:rsid w:val="1EBD93F2"/>
    <w:rsid w:val="57B0FABC"/>
    <w:rsid w:val="5ABF3EE8"/>
    <w:rsid w:val="5FBBBB11"/>
    <w:rsid w:val="63D7515F"/>
    <w:rsid w:val="72491B7C"/>
    <w:rsid w:val="777C8AE7"/>
    <w:rsid w:val="77BF0C79"/>
    <w:rsid w:val="7B1B0D3D"/>
    <w:rsid w:val="7B7B111A"/>
    <w:rsid w:val="7F77F3AB"/>
    <w:rsid w:val="EAEFB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="微软雅黑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adjustRightInd w:val="0"/>
      <w:snapToGrid w:val="0"/>
      <w:spacing w:after="200"/>
    </w:pPr>
    <w:rPr>
      <w:rFonts w:ascii="Tahoma" w:hAnsi="Tahoma" w:eastAsia="微软雅黑" w:cstheme="minorBidi"/>
      <w:sz w:val="22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unhideWhenUsed/>
    <w:uiPriority w:val="99"/>
    <w:pPr>
      <w:jc w:val="left"/>
    </w:pPr>
  </w:style>
  <w:style w:type="paragraph" w:styleId="3">
    <w:name w:val="Balloon Text"/>
    <w:basedOn w:val="1"/>
    <w:link w:val="13"/>
    <w:semiHidden/>
    <w:unhideWhenUsed/>
    <w:qFormat/>
    <w:uiPriority w:val="99"/>
    <w:pPr>
      <w:spacing w:after="0"/>
    </w:pPr>
    <w:rPr>
      <w:sz w:val="18"/>
      <w:szCs w:val="18"/>
    </w:rPr>
  </w:style>
  <w:style w:type="paragraph" w:styleId="4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5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styleId="8">
    <w:name w:val="annotation reference"/>
    <w:basedOn w:val="7"/>
    <w:semiHidden/>
    <w:unhideWhenUsed/>
    <w:uiPriority w:val="99"/>
    <w:rPr>
      <w:sz w:val="21"/>
      <w:szCs w:val="21"/>
    </w:rPr>
  </w:style>
  <w:style w:type="character" w:customStyle="1" w:styleId="9">
    <w:name w:val="页眉 字符"/>
    <w:basedOn w:val="7"/>
    <w:link w:val="5"/>
    <w:uiPriority w:val="99"/>
    <w:rPr>
      <w:rFonts w:ascii="Tahoma" w:hAnsi="Tahoma"/>
      <w:sz w:val="18"/>
      <w:szCs w:val="18"/>
    </w:rPr>
  </w:style>
  <w:style w:type="character" w:customStyle="1" w:styleId="10">
    <w:name w:val="页脚 字符"/>
    <w:basedOn w:val="7"/>
    <w:link w:val="4"/>
    <w:uiPriority w:val="99"/>
    <w:rPr>
      <w:rFonts w:ascii="Tahoma" w:hAnsi="Tahoma"/>
      <w:sz w:val="18"/>
      <w:szCs w:val="18"/>
    </w:rPr>
  </w:style>
  <w:style w:type="paragraph" w:styleId="11">
    <w:name w:val="No Spacing"/>
    <w:link w:val="12"/>
    <w:qFormat/>
    <w:uiPriority w:val="1"/>
    <w:rPr>
      <w:rFonts w:asciiTheme="minorHAnsi" w:hAnsiTheme="minorHAnsi" w:eastAsiaTheme="minorEastAsia" w:cstheme="minorBidi"/>
      <w:sz w:val="22"/>
      <w:szCs w:val="22"/>
      <w:lang w:val="en-US" w:eastAsia="zh-CN" w:bidi="ar-SA"/>
    </w:rPr>
  </w:style>
  <w:style w:type="character" w:customStyle="1" w:styleId="12">
    <w:name w:val="无间隔 字符"/>
    <w:basedOn w:val="7"/>
    <w:link w:val="11"/>
    <w:uiPriority w:val="1"/>
    <w:rPr>
      <w:rFonts w:eastAsiaTheme="minorEastAsia"/>
    </w:rPr>
  </w:style>
  <w:style w:type="character" w:customStyle="1" w:styleId="13">
    <w:name w:val="批注框文本 字符"/>
    <w:basedOn w:val="7"/>
    <w:link w:val="3"/>
    <w:semiHidden/>
    <w:uiPriority w:val="99"/>
    <w:rPr>
      <w:rFonts w:ascii="Tahoma" w:hAnsi="Tahoma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220</Words>
  <Characters>1254</Characters>
  <Lines>10</Lines>
  <Paragraphs>2</Paragraphs>
  <TotalTime>11</TotalTime>
  <ScaleCrop>false</ScaleCrop>
  <LinksUpToDate>false</LinksUpToDate>
  <CharactersWithSpaces>1472</CharactersWithSpaces>
  <Application>WPS Office_6.6.1.8808_F1E327BC-269C-435d-A152-05C5408002CA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2008-09-15T01:20:00Z</dcterms:created>
  <dc:creator>gxy</dc:creator>
  <cp:lastModifiedBy>胡萝卜爱吃鱼</cp:lastModifiedBy>
  <cp:lastPrinted>2017-01-16T08:37:00Z</cp:lastPrinted>
  <dcterms:modified xsi:type="dcterms:W3CDTF">2024-05-22T13:55:20Z</dcterms:modified>
  <cp:revision>58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ICV">
    <vt:lpwstr>B059744F88172CBC80BF39668A604CEA_43</vt:lpwstr>
  </property>
</Properties>
</file>